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:rsidRPr="00490A0B" w14:paraId="0D175DEA" w14:textId="77777777" w:rsidTr="00E80F57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141A5A29" w14:textId="77777777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20684D36" w14:textId="77777777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70775C1E" w14:textId="77777777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1728D5F4" w14:textId="77777777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72143A8E" w14:textId="2E15D8BF" w:rsidR="00E80F57" w:rsidRPr="00490A0B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14:paraId="068A3D7D" w14:textId="77777777" w:rsidR="00D47478" w:rsidRPr="009374D9" w:rsidRDefault="00D47478" w:rsidP="00D47478">
      <w:pPr>
        <w:pStyle w:val="Default"/>
        <w:ind w:left="-567"/>
        <w:jc w:val="center"/>
        <w:rPr>
          <w:rFonts w:ascii="Muli" w:hAnsi="Muli"/>
          <w:b/>
          <w:bCs/>
          <w:color w:val="auto"/>
        </w:rPr>
      </w:pPr>
      <w:r w:rsidRPr="009374D9">
        <w:rPr>
          <w:rFonts w:ascii="Muli" w:hAnsi="Muli"/>
          <w:b/>
          <w:bCs/>
          <w:color w:val="auto"/>
        </w:rPr>
        <w:t xml:space="preserve">Załącznik nr 2 do </w:t>
      </w:r>
      <w:r>
        <w:rPr>
          <w:rFonts w:ascii="Muli" w:hAnsi="Muli"/>
          <w:b/>
          <w:bCs/>
          <w:color w:val="auto"/>
        </w:rPr>
        <w:t>R</w:t>
      </w:r>
      <w:r w:rsidRPr="009374D9">
        <w:rPr>
          <w:rFonts w:ascii="Muli" w:hAnsi="Muli"/>
          <w:b/>
          <w:bCs/>
          <w:color w:val="auto"/>
        </w:rPr>
        <w:t>egulaminu przyznawania nagród</w:t>
      </w:r>
      <w:r w:rsidRPr="009374D9">
        <w:rPr>
          <w:rFonts w:ascii="Muli" w:hAnsi="Muli"/>
          <w:color w:val="auto"/>
        </w:rPr>
        <w:t xml:space="preserve"> </w:t>
      </w:r>
      <w:r w:rsidRPr="009374D9">
        <w:rPr>
          <w:rFonts w:ascii="Muli" w:hAnsi="Muli"/>
          <w:b/>
          <w:bCs/>
          <w:color w:val="auto"/>
        </w:rPr>
        <w:t xml:space="preserve">Ministra Kultury </w:t>
      </w:r>
      <w:r>
        <w:rPr>
          <w:rFonts w:ascii="Muli" w:hAnsi="Muli"/>
          <w:b/>
          <w:bCs/>
          <w:color w:val="auto"/>
        </w:rPr>
        <w:br/>
      </w:r>
      <w:r w:rsidRPr="009374D9">
        <w:rPr>
          <w:rFonts w:ascii="Muli" w:hAnsi="Muli"/>
          <w:b/>
          <w:bCs/>
          <w:color w:val="auto"/>
        </w:rPr>
        <w:t>i Dziedzictwa Narodowego w ogólnopolskim konkursie „Zabytek Zadbany”</w:t>
      </w:r>
    </w:p>
    <w:p w14:paraId="0065A933" w14:textId="77777777" w:rsidR="00D47478" w:rsidRPr="009374D9" w:rsidRDefault="00D47478" w:rsidP="00D47478">
      <w:pPr>
        <w:pStyle w:val="Default"/>
        <w:jc w:val="both"/>
        <w:rPr>
          <w:rFonts w:ascii="Muli" w:hAnsi="Muli"/>
          <w:b/>
          <w:bCs/>
          <w:color w:val="auto"/>
        </w:rPr>
      </w:pPr>
    </w:p>
    <w:p w14:paraId="5718B343" w14:textId="77777777" w:rsidR="00D47478" w:rsidRPr="009374D9" w:rsidRDefault="00D47478" w:rsidP="00D47478">
      <w:pPr>
        <w:pStyle w:val="Default"/>
        <w:ind w:left="-567"/>
        <w:jc w:val="center"/>
        <w:rPr>
          <w:rFonts w:ascii="Muli" w:hAnsi="Muli"/>
          <w:b/>
          <w:bCs/>
          <w:color w:val="auto"/>
        </w:rPr>
      </w:pPr>
      <w:r>
        <w:rPr>
          <w:rFonts w:ascii="Muli" w:hAnsi="Muli"/>
          <w:b/>
          <w:bCs/>
          <w:color w:val="auto"/>
        </w:rPr>
        <w:t>Procedura oceny zgłoszeń</w:t>
      </w:r>
    </w:p>
    <w:p w14:paraId="69A1F1D9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04C7F843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1. W pierwszym etapie oceny zgłoszenia nastąpi sprawdzenie, czy spełnia ono wymogi formalne określone w Regulaminie Konkursu. Weryfikacja zgłoszeń pod kątem ich zgodności z Regulaminem Konkursu zostanie przeprowadzona przez Sekretariat Konkursu.</w:t>
      </w:r>
    </w:p>
    <w:p w14:paraId="068BE16F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3F54108D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2. Kolejnym etapem jest przekazanie zgłoszeń zespołom ekspertów Narodowego Instytutu Dziedzictwa w celu oceny przeprowadzonych prac. Kryterium branym pod uwagę przy ocenie realizacji zgłoszonych do Konkursu będzie spełnianie przez nie ogólnych zasad konserwacji, utrzymania i zagospodarowania zabytków określonych w części III, ust. 1-3 Regulaminu Konkursu.</w:t>
      </w:r>
    </w:p>
    <w:p w14:paraId="170BD807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3C6B401D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 xml:space="preserve">3. Eksperci Narodowego Instytutu Dziedzictwa wyznaczani do oceny przeprowadzonych prac posiadają wykształcenie wyższe, kierunkowe, odpowiednie do przeprowadzenia właściwej oceny realizacji zgłoszonych prac, </w:t>
      </w:r>
      <w:r>
        <w:rPr>
          <w:rFonts w:ascii="Muli" w:hAnsi="Muli"/>
          <w:bCs/>
          <w:color w:val="auto"/>
        </w:rPr>
        <w:br/>
      </w:r>
      <w:r w:rsidRPr="009374D9">
        <w:rPr>
          <w:rFonts w:ascii="Muli" w:hAnsi="Muli"/>
          <w:bCs/>
          <w:color w:val="auto"/>
        </w:rPr>
        <w:t>a także posiadają doświadczenie w opracowaniu specjalistycznych opinii dotyczących działań konserwatorskich i prac przy zabytkach.</w:t>
      </w:r>
    </w:p>
    <w:p w14:paraId="79875B85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58CEE5FD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4. Zespoły ekspertów Narodowego Instytutu Dziedzictwa, oceniając zgłoszenia konkursowe, przyznają punkty według schematu:</w:t>
      </w:r>
    </w:p>
    <w:p w14:paraId="145A11AD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5E64C980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a. za dołączoną dokumentację (od 0 do 2 punktów) – ocenie podlega poziom merytoryczny dokumentacji</w:t>
      </w:r>
      <w:r w:rsidRPr="009374D9">
        <w:rPr>
          <w:rFonts w:ascii="Muli" w:hAnsi="Muli" w:cs="Segoe UI"/>
          <w:color w:val="auto"/>
        </w:rPr>
        <w:t xml:space="preserve"> badawczej, konserwatorskiej i projektowej stanowiącej podstawę przeprowadzonych prac oraz powykonawczej dokumentującej sposób ich wykonania;</w:t>
      </w:r>
    </w:p>
    <w:p w14:paraId="5B93216B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3675F19E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b. za realizację projektu (od 0 do 8 punktów) – ocenie podlega poziom i zakres badań konserwatorskich, program prac konserwatorskich, forma i poziom wykonanych prac, zachowanie integralności i utrwalenie autentyzmu substancji zabytkowej, stan obiektu po działaniach konserwatorskich, adaptacyjnych lub innych.</w:t>
      </w:r>
    </w:p>
    <w:p w14:paraId="65C31BE1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09116CA5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5. Obrady Jury odbędą się w terminie ustalonym przez Organizatora Konkursu.</w:t>
      </w:r>
    </w:p>
    <w:p w14:paraId="7C81AA9D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157B3D7A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 w:cs="Segoe UI"/>
          <w:color w:val="auto"/>
        </w:rPr>
      </w:pPr>
      <w:r w:rsidRPr="009374D9">
        <w:rPr>
          <w:rFonts w:ascii="Muli" w:hAnsi="Muli"/>
          <w:bCs/>
          <w:color w:val="auto"/>
        </w:rPr>
        <w:t xml:space="preserve">6. </w:t>
      </w:r>
      <w:r w:rsidRPr="009374D9">
        <w:rPr>
          <w:rFonts w:ascii="Muli" w:hAnsi="Muli" w:cs="Segoe UI"/>
          <w:color w:val="auto"/>
        </w:rPr>
        <w:t>W obradach Jury uczestniczą wyłącznie członkowie Jury oraz przedstawiciele sekretariatu Konkursu.</w:t>
      </w:r>
    </w:p>
    <w:p w14:paraId="33F22F49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6D0CE5AC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lastRenderedPageBreak/>
        <w:t>7. Jury Konkurs</w:t>
      </w:r>
      <w:bookmarkStart w:id="0" w:name="_GoBack"/>
      <w:bookmarkEnd w:id="0"/>
      <w:r w:rsidRPr="009374D9">
        <w:rPr>
          <w:rFonts w:ascii="Muli" w:hAnsi="Muli"/>
          <w:bCs/>
          <w:color w:val="auto"/>
        </w:rPr>
        <w:t>u, po zapoznaniu się z dokumentacją zgłoszeniową i przyznaną punktacją, nominuje maksymalnie cztery zgłoszenia w każdej kategorii,</w:t>
      </w:r>
      <w:r w:rsidRPr="009374D9">
        <w:rPr>
          <w:rFonts w:ascii="Muli" w:hAnsi="Muli" w:cs="Segoe UI"/>
          <w:color w:val="auto"/>
        </w:rPr>
        <w:t xml:space="preserve"> </w:t>
      </w:r>
      <w:r>
        <w:rPr>
          <w:rFonts w:ascii="Muli" w:hAnsi="Muli" w:cs="Segoe UI"/>
          <w:color w:val="auto"/>
        </w:rPr>
        <w:br/>
      </w:r>
      <w:r w:rsidRPr="009374D9">
        <w:rPr>
          <w:rFonts w:ascii="Muli" w:hAnsi="Muli" w:cs="Segoe UI"/>
          <w:color w:val="auto"/>
        </w:rPr>
        <w:t>z wyjątkiem kategorii specjalnej</w:t>
      </w:r>
      <w:r w:rsidRPr="009374D9">
        <w:rPr>
          <w:rFonts w:ascii="Muli" w:hAnsi="Muli"/>
          <w:bCs/>
          <w:color w:val="auto"/>
        </w:rPr>
        <w:t xml:space="preserve"> (Regulamin Konkursu część X ust. 2).</w:t>
      </w:r>
    </w:p>
    <w:p w14:paraId="22D3F5BE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3887300C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bCs/>
          <w:color w:val="auto"/>
        </w:rPr>
        <w:t>8. Spośród nominowanych zgłoszeń w poszczególnych kategoriach Jury może wyłonić laureata oraz maksymalnie trzech wyróżnionych.</w:t>
      </w:r>
    </w:p>
    <w:p w14:paraId="354B14C7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</w:p>
    <w:p w14:paraId="1C68D6A9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 w:cs="Segoe UI"/>
          <w:color w:val="auto"/>
        </w:rPr>
      </w:pPr>
      <w:r w:rsidRPr="009374D9">
        <w:rPr>
          <w:rFonts w:ascii="Muli" w:hAnsi="Muli"/>
          <w:color w:val="auto"/>
        </w:rPr>
        <w:t xml:space="preserve">9. </w:t>
      </w:r>
      <w:r w:rsidRPr="009374D9">
        <w:rPr>
          <w:rFonts w:ascii="Muli" w:hAnsi="Muli" w:cs="Segoe UI"/>
          <w:color w:val="auto"/>
        </w:rPr>
        <w:t>W kategorii specjalnej</w:t>
      </w:r>
      <w:r w:rsidRPr="009374D9">
        <w:rPr>
          <w:rFonts w:ascii="Muli" w:hAnsi="Muli"/>
          <w:bCs/>
          <w:color w:val="auto"/>
        </w:rPr>
        <w:t xml:space="preserve"> </w:t>
      </w:r>
      <w:r w:rsidRPr="009374D9">
        <w:rPr>
          <w:rFonts w:ascii="Muli" w:hAnsi="Muli" w:cs="Segoe UI"/>
          <w:color w:val="auto"/>
        </w:rPr>
        <w:t>Jury Konkursu, po zapoznaniu się z dokumentacją zgłoszeniową i przyznaną punktacją, wyłania laureata (bez wyróżnień). Możliwe jest przyznanie równorzędnych dwóch tytułów laureata (ex aequo).</w:t>
      </w:r>
    </w:p>
    <w:p w14:paraId="7CFFC5FE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 w:cs="Segoe UI"/>
          <w:color w:val="auto"/>
        </w:rPr>
      </w:pPr>
    </w:p>
    <w:p w14:paraId="7B5B8EBE" w14:textId="77777777" w:rsidR="00D47478" w:rsidRPr="009374D9" w:rsidRDefault="00D47478" w:rsidP="00D47478">
      <w:pPr>
        <w:pStyle w:val="Default"/>
        <w:ind w:left="-567"/>
        <w:jc w:val="both"/>
        <w:rPr>
          <w:rFonts w:ascii="Muli" w:hAnsi="Muli"/>
          <w:bCs/>
          <w:color w:val="auto"/>
        </w:rPr>
      </w:pPr>
      <w:r w:rsidRPr="009374D9">
        <w:rPr>
          <w:rFonts w:ascii="Muli" w:hAnsi="Muli"/>
          <w:color w:val="auto"/>
        </w:rPr>
        <w:t xml:space="preserve">10. </w:t>
      </w:r>
      <w:r w:rsidRPr="009374D9">
        <w:rPr>
          <w:rFonts w:ascii="Muli" w:hAnsi="Muli" w:cs="Segoe UI"/>
          <w:color w:val="auto"/>
        </w:rPr>
        <w:t>Wyłanianie nominowanych, laureatów i wyróżnionych odbywa się drogą głosowania w trybie jawnym. W przypadku równej liczby głosów decyduje głos przewodniczącego Jury.</w:t>
      </w:r>
    </w:p>
    <w:p w14:paraId="61FBE0B3" w14:textId="64BECB4D" w:rsidR="00E36833" w:rsidRPr="00490A0B" w:rsidRDefault="00331BAA" w:rsidP="00D47478">
      <w:pPr>
        <w:spacing w:line="276" w:lineRule="auto"/>
        <w:jc w:val="center"/>
        <w:rPr>
          <w:rFonts w:ascii="Muli" w:hAnsi="Muli"/>
          <w:sz w:val="24"/>
          <w:szCs w:val="24"/>
        </w:rPr>
      </w:pPr>
    </w:p>
    <w:sectPr w:rsidR="00E36833" w:rsidRPr="00490A0B" w:rsidSect="00490A0B">
      <w:headerReference w:type="default" r:id="rId7"/>
      <w:headerReference w:type="first" r:id="rId8"/>
      <w:footerReference w:type="first" r:id="rId9"/>
      <w:pgSz w:w="11906" w:h="16838" w:code="9"/>
      <w:pgMar w:top="851" w:right="1558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D73A" w14:textId="77777777" w:rsidR="00331BAA" w:rsidRDefault="00331BAA" w:rsidP="00E80F57">
      <w:r>
        <w:separator/>
      </w:r>
    </w:p>
  </w:endnote>
  <w:endnote w:type="continuationSeparator" w:id="0">
    <w:p w14:paraId="4C4BA3E4" w14:textId="77777777" w:rsidR="00331BAA" w:rsidRDefault="00331BAA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D47478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rPr>
              <w:rFonts w:ascii="Muli Regular" w:hAnsi="Muli Regular"/>
              <w:color w:val="EC008C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490A0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lang w:val="en-US"/>
            </w:rPr>
            <w:tab/>
          </w:r>
          <w:r w:rsidRPr="00490A0B">
            <w:rPr>
              <w:rFonts w:ascii="Muli Regular" w:hAnsi="Muli Regular"/>
              <w:color w:val="EC008C"/>
              <w:lang w:val="en-US"/>
            </w:rPr>
            <w:t>f:</w:t>
          </w:r>
          <w:r w:rsidRPr="00490A0B">
            <w:rPr>
              <w:lang w:val="en-US"/>
            </w:rPr>
            <w:tab/>
            <w:t>+48 22 826 17 14</w:t>
          </w:r>
        </w:p>
        <w:p w14:paraId="12C335CA" w14:textId="090CA340" w:rsidR="00DD3DCA" w:rsidRPr="00490A0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490A0B">
            <w:rPr>
              <w:lang w:val="en-US"/>
            </w:rPr>
            <w:tab/>
          </w:r>
          <w:r w:rsidR="00DD3DCA" w:rsidRPr="00490A0B">
            <w:rPr>
              <w:rFonts w:ascii="Muli Regular" w:hAnsi="Muli Regular"/>
              <w:color w:val="EC008C"/>
              <w:lang w:val="en-US"/>
            </w:rPr>
            <w:t>e:</w:t>
          </w:r>
          <w:r w:rsidR="00DD3DCA" w:rsidRPr="00490A0B">
            <w:rPr>
              <w:color w:val="000000" w:themeColor="text1"/>
              <w:lang w:val="en-US"/>
            </w:rPr>
            <w:tab/>
          </w:r>
          <w:hyperlink r:id="rId1" w:history="1">
            <w:r w:rsidR="00DD3DCA" w:rsidRPr="00490A0B">
              <w:rPr>
                <w:rStyle w:val="Hipercze"/>
                <w:color w:val="000000" w:themeColor="text1"/>
                <w:u w:val="none"/>
                <w:lang w:val="en-US"/>
              </w:rPr>
              <w:t>info@nid.pl</w:t>
            </w:r>
          </w:hyperlink>
        </w:p>
      </w:tc>
      <w:tc>
        <w:tcPr>
          <w:tcW w:w="1871" w:type="dxa"/>
        </w:tcPr>
        <w:p w14:paraId="170FBA1A" w14:textId="77777777" w:rsidR="00DD3DCA" w:rsidRPr="00490A0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rFonts w:ascii="Muli Regular" w:hAnsi="Muli Regular"/>
              <w:color w:val="EC008C"/>
              <w:lang w:val="en-US"/>
            </w:rPr>
            <w:t xml:space="preserve">www.nid.pl </w:t>
          </w:r>
        </w:p>
        <w:p w14:paraId="675FD2A1" w14:textId="5163393B" w:rsidR="00DD3DCA" w:rsidRPr="00490A0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rFonts w:ascii="Muli Regular" w:hAnsi="Muli Regular"/>
              <w:color w:val="EC008C"/>
              <w:lang w:val="en-US"/>
            </w:rPr>
            <w:t>www.zabytek.pl</w:t>
          </w:r>
        </w:p>
      </w:tc>
    </w:tr>
  </w:tbl>
  <w:p w14:paraId="64777E10" w14:textId="77777777" w:rsidR="004919C3" w:rsidRPr="00490A0B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6C3A" w14:textId="77777777" w:rsidR="00331BAA" w:rsidRDefault="00331BAA" w:rsidP="00E80F57">
      <w:r>
        <w:separator/>
      </w:r>
    </w:p>
  </w:footnote>
  <w:footnote w:type="continuationSeparator" w:id="0">
    <w:p w14:paraId="2FAC04C3" w14:textId="77777777" w:rsidR="00331BAA" w:rsidRDefault="00331BAA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60C1E1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E2FAF"/>
    <w:rsid w:val="00104544"/>
    <w:rsid w:val="002361FB"/>
    <w:rsid w:val="00291C2D"/>
    <w:rsid w:val="00305927"/>
    <w:rsid w:val="00331BA2"/>
    <w:rsid w:val="00331BAA"/>
    <w:rsid w:val="00350DC2"/>
    <w:rsid w:val="00356896"/>
    <w:rsid w:val="003A38E8"/>
    <w:rsid w:val="003D328B"/>
    <w:rsid w:val="003F3C44"/>
    <w:rsid w:val="00451216"/>
    <w:rsid w:val="00490A0B"/>
    <w:rsid w:val="004919C3"/>
    <w:rsid w:val="00536537"/>
    <w:rsid w:val="00581C21"/>
    <w:rsid w:val="005A6B04"/>
    <w:rsid w:val="00602192"/>
    <w:rsid w:val="00614E72"/>
    <w:rsid w:val="0078639E"/>
    <w:rsid w:val="007D61E0"/>
    <w:rsid w:val="00926C80"/>
    <w:rsid w:val="009728A8"/>
    <w:rsid w:val="00AD453D"/>
    <w:rsid w:val="00AD5624"/>
    <w:rsid w:val="00BF2718"/>
    <w:rsid w:val="00C04A42"/>
    <w:rsid w:val="00C06619"/>
    <w:rsid w:val="00C206BB"/>
    <w:rsid w:val="00C43DA6"/>
    <w:rsid w:val="00C92C70"/>
    <w:rsid w:val="00CC108F"/>
    <w:rsid w:val="00D47478"/>
    <w:rsid w:val="00DC05D6"/>
    <w:rsid w:val="00DC576C"/>
    <w:rsid w:val="00DD3DCA"/>
    <w:rsid w:val="00E324C3"/>
    <w:rsid w:val="00E80F57"/>
    <w:rsid w:val="00F04192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92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92"/>
    <w:rPr>
      <w:rFonts w:ascii="Muli Light" w:hAnsi="Muli Light"/>
      <w:b/>
      <w:bCs/>
      <w:sz w:val="20"/>
      <w:szCs w:val="20"/>
    </w:rPr>
  </w:style>
  <w:style w:type="paragraph" w:customStyle="1" w:styleId="Default">
    <w:name w:val="Default"/>
    <w:rsid w:val="00D47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C04A-BC7B-4590-ABDA-65BA8149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Joanna Piotrowska</cp:lastModifiedBy>
  <cp:revision>3</cp:revision>
  <dcterms:created xsi:type="dcterms:W3CDTF">2021-01-05T10:10:00Z</dcterms:created>
  <dcterms:modified xsi:type="dcterms:W3CDTF">2021-01-05T10:10:00Z</dcterms:modified>
</cp:coreProperties>
</file>